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B4470A"/>
          <w:sz w:val="26"/>
        </w:rPr>
        <w:t>ЧЕРНОВИК — НА УТВЕРЖДЕНИЕ КУРАТОРУ</w:t>
      </w:r>
    </w:p>
    <w:p>
      <w:pPr>
        <w:jc w:val="center"/>
      </w:pPr>
      <w:r>
        <w:rPr>
          <w:color w:val="8A5A24"/>
          <w:sz w:val="18"/>
        </w:rPr>
        <w:t>Не отправлено клиенту. Цены и сроки не заполнены — см. раздел 7.</w:t>
      </w:r>
    </w:p>
    <w:p>
      <w:pPr>
        <w:pStyle w:val="Title"/>
      </w:pPr>
      <w:r>
        <w:t>Коммерческое предложение: внедрение SAP Business One</w:t>
      </w:r>
    </w:p>
    <w:p>
      <w:r>
        <w:rPr>
          <w:b/>
        </w:rPr>
        <w:t>Оптовая торговая компания, 15 пользователей</w:t>
      </w:r>
    </w:p>
    <w:p>
      <w:r>
        <w:t>Клиент: ⟨УТОЧНИТЬ: название компании-клиента⟩</w:t>
      </w:r>
    </w:p>
    <w:p>
      <w:r>
        <w:t>Дата подготовки: 1 сентября 2026   |   Статус: черновик</w:t>
      </w:r>
    </w:p>
    <w:p>
      <w:r>
        <w:t>Единая система учёта закупок, склада, продаж и финансов: один справочник, один остаток, управленческая отчётность из системы.</w:t>
      </w:r>
    </w:p>
    <w:p>
      <w:pPr>
        <w:pStyle w:val="Heading1"/>
      </w:pPr>
      <w:r>
        <w:t>1. Цели и что внедряем</w:t>
      </w:r>
    </w:p>
    <w:p>
      <w:pPr>
        <w:pStyle w:val="Heading2"/>
      </w:pPr>
      <w:r>
        <w:t>Цели проекта</w:t>
      </w:r>
    </w:p>
    <w:p>
      <w:pPr>
        <w:pStyle w:val="ListBullet"/>
      </w:pPr>
      <w:r>
        <w:rPr>
          <w:b/>
        </w:rPr>
        <w:t xml:space="preserve">Единый учёт вместо разрозненных таблиц. </w:t>
      </w:r>
      <w:r>
        <w:t>Закупки, склад, продажи, взаиморасчёты и финансы ведутся в одной базе. Один справочник товаров, один справочник контрагентов, одна цифра остатка.</w:t>
      </w:r>
    </w:p>
    <w:p>
      <w:pPr>
        <w:pStyle w:val="ListBullet"/>
      </w:pPr>
      <w:r>
        <w:rPr>
          <w:b/>
        </w:rPr>
        <w:t xml:space="preserve">Управление складскими остатками. </w:t>
      </w:r>
      <w:r>
        <w:t>Приход, перемещение, резерв, отгрузка и инвентаризация фиксируются документами. Остаток виден в момент оформления заказа, а не в конце месяца.</w:t>
      </w:r>
    </w:p>
    <w:p>
      <w:pPr>
        <w:pStyle w:val="ListBullet"/>
      </w:pPr>
      <w:r>
        <w:rPr>
          <w:b/>
        </w:rPr>
        <w:t xml:space="preserve">Контроль цен, скидок и дебиторки. </w:t>
      </w:r>
      <w:r>
        <w:t>Прайс-листы, скидочные группы и кредитные лимиты настраиваются в системе; превышение лимита блокирует отгрузку до решения ответственного.</w:t>
      </w:r>
    </w:p>
    <w:p>
      <w:pPr>
        <w:pStyle w:val="ListBullet"/>
      </w:pPr>
      <w:r>
        <w:rPr>
          <w:b/>
        </w:rPr>
        <w:t xml:space="preserve">Управленческая отчётность из системы. </w:t>
      </w:r>
      <w:r>
        <w:t>Валовая прибыль по сделке и по товару, оборачиваемость, задолженность по срокам — отчётами, а не ручной сверкой.</w:t>
      </w:r>
    </w:p>
    <w:p>
      <w:pPr>
        <w:pStyle w:val="Heading2"/>
      </w:pPr>
      <w:r>
        <w:t>Контур внедрения</w:t>
      </w:r>
    </w:p>
    <w:p>
      <w:pPr>
        <w:pStyle w:val="ListBullet"/>
      </w:pPr>
      <w:r>
        <w:rPr>
          <w:b/>
        </w:rPr>
        <w:t>Продажи (Sales A/R)</w:t>
      </w:r>
    </w:p>
    <w:p>
      <w:pPr>
        <w:pStyle w:val="ListBullet2"/>
      </w:pPr>
      <w:r>
        <w:t>Коммерческое предложение → заказ клиента → отгрузка → счёт</w:t>
      </w:r>
    </w:p>
    <w:p>
      <w:pPr>
        <w:pStyle w:val="ListBullet2"/>
      </w:pPr>
      <w:r>
        <w:t>Прайс-листы, скидочные группы, спецусловия по клиенту</w:t>
      </w:r>
    </w:p>
    <w:p>
      <w:pPr>
        <w:pStyle w:val="ListBullet2"/>
      </w:pPr>
      <w:r>
        <w:t>Кредитный лимит и блокировка отгрузки при превышении</w:t>
      </w:r>
    </w:p>
    <w:p>
      <w:pPr>
        <w:pStyle w:val="ListBullet2"/>
      </w:pPr>
      <w:r>
        <w:t>Возвраты от клиента</w:t>
      </w:r>
    </w:p>
    <w:p>
      <w:pPr>
        <w:pStyle w:val="ListBullet"/>
      </w:pPr>
      <w:r>
        <w:rPr>
          <w:b/>
        </w:rPr>
        <w:t>Закупки (Purchasing A/P)</w:t>
      </w:r>
    </w:p>
    <w:p>
      <w:pPr>
        <w:pStyle w:val="ListBullet2"/>
      </w:pPr>
      <w:r>
        <w:t>Заявка на закупку → заказ поставщику → приход на склад → счёт поставщика</w:t>
      </w:r>
    </w:p>
    <w:p>
      <w:pPr>
        <w:pStyle w:val="ListBullet2"/>
      </w:pPr>
      <w:r>
        <w:t>Учёт дополнительных расходов в себестоимости (доставка, таможня, услуги) — Landed Costs</w:t>
      </w:r>
    </w:p>
    <w:p>
      <w:pPr>
        <w:pStyle w:val="ListBullet2"/>
      </w:pPr>
      <w:r>
        <w:t>Возвраты поставщику</w:t>
      </w:r>
    </w:p>
    <w:p>
      <w:pPr>
        <w:pStyle w:val="ListBullet"/>
      </w:pPr>
      <w:r>
        <w:rPr>
          <w:b/>
        </w:rPr>
        <w:t>Склад и запасы (Inventory)</w:t>
      </w:r>
    </w:p>
    <w:p>
      <w:pPr>
        <w:pStyle w:val="ListBullet2"/>
      </w:pPr>
      <w:r>
        <w:t>Складские единицы, единицы измерения и упаковки</w:t>
      </w:r>
    </w:p>
    <w:p>
      <w:pPr>
        <w:pStyle w:val="ListBullet2"/>
      </w:pPr>
      <w:r>
        <w:t>Перемещения между складами, резервирование под заказ</w:t>
      </w:r>
    </w:p>
    <w:p>
      <w:pPr>
        <w:pStyle w:val="ListBullet2"/>
      </w:pPr>
      <w:r>
        <w:t>Партии / серийные номера — ⟨УТОЧНИТЬ: нужен ли партионный учёт и по каким группам товара⟩</w:t>
      </w:r>
    </w:p>
    <w:p>
      <w:pPr>
        <w:pStyle w:val="ListBullet2"/>
      </w:pPr>
      <w:r>
        <w:t>Инвентаризация и переоценка</w:t>
      </w:r>
    </w:p>
    <w:p>
      <w:pPr>
        <w:pStyle w:val="ListBullet"/>
      </w:pPr>
      <w:r>
        <w:rPr>
          <w:b/>
        </w:rPr>
        <w:t>Финансы и банк (Financials, Banking)</w:t>
      </w:r>
    </w:p>
    <w:p>
      <w:pPr>
        <w:pStyle w:val="ListBullet2"/>
      </w:pPr>
      <w:r>
        <w:t>План счетов, настройка автоматических проводок от документов</w:t>
      </w:r>
    </w:p>
    <w:p>
      <w:pPr>
        <w:pStyle w:val="ListBullet2"/>
      </w:pPr>
      <w:r>
        <w:t>Касса и банк, разноска платежей, сверка взаиморасчётов</w:t>
      </w:r>
    </w:p>
    <w:p>
      <w:pPr>
        <w:pStyle w:val="ListBullet2"/>
      </w:pPr>
      <w:r>
        <w:t>Валютный учёт — ⟨УТОЧНИТЬ: валюты учёта и расчётов⟩</w:t>
      </w:r>
    </w:p>
    <w:p>
      <w:pPr>
        <w:pStyle w:val="ListBullet"/>
      </w:pPr>
      <w:r>
        <w:rPr>
          <w:b/>
        </w:rPr>
        <w:t>Отчётность</w:t>
      </w:r>
    </w:p>
    <w:p>
      <w:pPr>
        <w:pStyle w:val="ListBullet2"/>
      </w:pPr>
      <w:r>
        <w:t>Стандартные отчёты SAP B1 + панель KPI руководителя</w:t>
      </w:r>
    </w:p>
    <w:p>
      <w:pPr>
        <w:pStyle w:val="ListBullet2"/>
      </w:pPr>
      <w:r>
        <w:t>Печатные формы под требования клиента — ⟨УТОЧНИТЬ: перечень печатных форм и их количество⟩</w:t>
      </w:r>
    </w:p>
    <w:p>
      <w:pPr>
        <w:pStyle w:val="ListBullet2"/>
      </w:pPr>
      <w:r>
        <w:t>Локальные регламентированные формы — ⟨УТОЧНИТЬ: какие формы отчётности требуются и кто их сдаёт⟩</w:t>
      </w:r>
    </w:p>
    <w:p>
      <w:pPr>
        <w:pStyle w:val="ListBullet"/>
      </w:pPr>
      <w:r>
        <w:rPr>
          <w:b/>
        </w:rPr>
        <w:t>Интеграции</w:t>
      </w:r>
    </w:p>
    <w:p>
      <w:pPr>
        <w:pStyle w:val="ListBullet2"/>
      </w:pPr>
      <w:r>
        <w:t>Обмен через Service Layer / DI API</w:t>
      </w:r>
    </w:p>
    <w:p>
      <w:pPr>
        <w:pStyle w:val="ListBullet2"/>
      </w:pPr>
      <w:r>
        <w:t>⟨УТОЧНИТЬ: перечень внешних систем для интеграции (интернет-магазин, банк-клиент, ЭДО, фискализация, 1С) — и по каждой: направление обмена и объём документов в месяц⟩</w:t>
      </w:r>
    </w:p>
    <w:p>
      <w:pPr>
        <w:pStyle w:val="Heading2"/>
      </w:pPr>
      <w:r>
        <w:t>Что не входит в это предложение</w:t>
      </w:r>
    </w:p>
    <w:p>
      <w:pPr>
        <w:pStyle w:val="ListBullet"/>
      </w:pPr>
      <w:r>
        <w:t>Производственные модули и планирование производства (MRP) — вне контура для оптовой торговли</w:t>
      </w:r>
    </w:p>
    <w:p>
      <w:pPr>
        <w:pStyle w:val="ListBullet"/>
      </w:pPr>
      <w:r>
        <w:t>Доработки и интеграции, не перечисленные в разделе «Что внедряем»</w:t>
      </w:r>
    </w:p>
    <w:p>
      <w:pPr>
        <w:pStyle w:val="ListBullet"/>
      </w:pPr>
      <w:r>
        <w:t>Поставка серверного оборудования и лицензий сторонних вендоров — ⟨УТОЧНИТЬ: входит ли поставка лицензий SAP в это КП или оформляется отдельно⟩</w:t>
      </w:r>
    </w:p>
    <w:p>
      <w:pPr>
        <w:pStyle w:val="ListBullet"/>
      </w:pPr>
      <w:r>
        <w:t>Обучение сотрудников сверх согласованного объёма — ⟨УТОЧНИТЬ: количество групп и часов обучения⟩</w:t>
      </w:r>
    </w:p>
    <w:p>
      <w:pPr>
        <w:pStyle w:val="ListBullet"/>
      </w:pPr>
      <w:r>
        <w:t>Сопровождение после сдачи проекта — оформляется отдельным договором поддержки</w:t>
      </w:r>
    </w:p>
    <w:p>
      <w:r>
        <w:br w:type="page"/>
      </w:r>
    </w:p>
    <w:p>
      <w:pPr>
        <w:pStyle w:val="Heading1"/>
      </w:pPr>
      <w:r>
        <w:t>2. Этапы внедрения</w:t>
      </w:r>
    </w:p>
    <w:p>
      <w:r>
        <w:t>Шесть этапов, каждый закрывается результатом, который принимает клиент. Длительность и стоимость проставляются после уточняющей встречи.</w:t>
      </w:r>
    </w:p>
    <w:p>
      <w:pPr>
        <w:pStyle w:val="Heading2"/>
      </w:pPr>
      <w:r>
        <w:t>Этап 1. Обследование и постановка</w:t>
      </w:r>
    </w:p>
    <w:p>
      <w:pPr>
        <w:pStyle w:val="ListBullet"/>
      </w:pPr>
      <w:r>
        <w:t>Интервью с ключевыми пользователями по каждому участку</w:t>
      </w:r>
    </w:p>
    <w:p>
      <w:pPr>
        <w:pStyle w:val="ListBullet"/>
      </w:pPr>
      <w:r>
        <w:t>Описание процессов «как есть» и «как будет»</w:t>
      </w:r>
    </w:p>
    <w:p>
      <w:pPr>
        <w:pStyle w:val="ListBullet"/>
      </w:pPr>
      <w:r>
        <w:t>Согласование перечня доработок, печатных форм и интеграций</w:t>
      </w:r>
    </w:p>
    <w:p>
      <w:r>
        <w:rPr>
          <w:b/>
        </w:rPr>
        <w:t xml:space="preserve">Результат этапа: </w:t>
      </w:r>
      <w:r>
        <w:t>Документ «Проектное решение», подписанный обеими сторонами</w:t>
      </w:r>
    </w:p>
    <w:p>
      <w:r>
        <w:rPr>
          <w:b/>
        </w:rPr>
        <w:t xml:space="preserve">Срок: </w:t>
      </w:r>
      <w:r>
        <w:rPr>
          <w:b/>
          <w:color w:val="B4470A"/>
        </w:rPr>
        <w:t>⟨УТОЧНИТЬ: длительность этапа 1⟩</w:t>
      </w:r>
    </w:p>
    <w:p>
      <w:pPr>
        <w:pStyle w:val="Heading2"/>
      </w:pPr>
      <w:r>
        <w:t>Этап 2. Настройка системы</w:t>
      </w:r>
    </w:p>
    <w:p>
      <w:pPr>
        <w:pStyle w:val="ListBullet"/>
      </w:pPr>
      <w:r>
        <w:t>Установка и настройка SAP Business One, разграничение прав по ролям</w:t>
      </w:r>
    </w:p>
    <w:p>
      <w:pPr>
        <w:pStyle w:val="ListBullet"/>
      </w:pPr>
      <w:r>
        <w:t>Настройка справочников, складов, прайс-листов, плана счетов</w:t>
      </w:r>
    </w:p>
    <w:p>
      <w:pPr>
        <w:pStyle w:val="ListBullet"/>
      </w:pPr>
      <w:r>
        <w:t>Настройка документооборота и автоматических проводок</w:t>
      </w:r>
    </w:p>
    <w:p>
      <w:r>
        <w:rPr>
          <w:b/>
        </w:rPr>
        <w:t xml:space="preserve">Результат этапа: </w:t>
      </w:r>
      <w:r>
        <w:t>Настроенная тестовая база, доступная ключевым пользователям</w:t>
      </w:r>
    </w:p>
    <w:p>
      <w:r>
        <w:rPr>
          <w:b/>
        </w:rPr>
        <w:t xml:space="preserve">Срок: </w:t>
      </w:r>
      <w:r>
        <w:rPr>
          <w:b/>
          <w:color w:val="B4470A"/>
        </w:rPr>
        <w:t>⟨УТОЧНИТЬ: длительность этапа 2⟩</w:t>
      </w:r>
    </w:p>
    <w:p>
      <w:pPr>
        <w:pStyle w:val="Heading2"/>
      </w:pPr>
      <w:r>
        <w:t>Этап 3. Миграция данных</w:t>
      </w:r>
    </w:p>
    <w:p>
      <w:pPr>
        <w:pStyle w:val="ListBullet"/>
      </w:pPr>
      <w:r>
        <w:t>Выгрузка справочников и остатков из текущих систем клиента</w:t>
      </w:r>
    </w:p>
    <w:p>
      <w:pPr>
        <w:pStyle w:val="ListBullet"/>
      </w:pPr>
      <w:r>
        <w:t>Приведение к шаблонам загрузки, контроль дублей</w:t>
      </w:r>
    </w:p>
    <w:p>
      <w:pPr>
        <w:pStyle w:val="ListBullet"/>
      </w:pPr>
      <w:r>
        <w:t>Загрузка и сверка контрольных сумм с клиентом</w:t>
      </w:r>
    </w:p>
    <w:p>
      <w:r>
        <w:rPr>
          <w:b/>
        </w:rPr>
        <w:t xml:space="preserve">Результат этапа: </w:t>
      </w:r>
      <w:r>
        <w:t>Загруженные справочники и входящие остатки, подписанный протокол сверки</w:t>
      </w:r>
    </w:p>
    <w:p>
      <w:r>
        <w:rPr>
          <w:b/>
        </w:rPr>
        <w:t xml:space="preserve">Срок: </w:t>
      </w:r>
      <w:r>
        <w:rPr>
          <w:b/>
          <w:color w:val="B4470A"/>
        </w:rPr>
        <w:t>⟨УТОЧНИТЬ: длительность этапа 3⟩</w:t>
      </w:r>
    </w:p>
    <w:p>
      <w:pPr>
        <w:pStyle w:val="Heading2"/>
      </w:pPr>
      <w:r>
        <w:t>Этап 4. Доработки и интеграции</w:t>
      </w:r>
    </w:p>
    <w:p>
      <w:pPr>
        <w:pStyle w:val="ListBullet"/>
      </w:pPr>
      <w:r>
        <w:t>Разработка согласованных печатных форм и отчётов</w:t>
      </w:r>
    </w:p>
    <w:p>
      <w:pPr>
        <w:pStyle w:val="ListBullet"/>
      </w:pPr>
      <w:r>
        <w:t>Разработка интеграций через Service Layer / DI API</w:t>
      </w:r>
    </w:p>
    <w:p>
      <w:pPr>
        <w:pStyle w:val="ListBullet"/>
      </w:pPr>
      <w:r>
        <w:t>Модульное тестирование доработок</w:t>
      </w:r>
    </w:p>
    <w:p>
      <w:r>
        <w:rPr>
          <w:b/>
        </w:rPr>
        <w:t xml:space="preserve">Результат этапа: </w:t>
      </w:r>
      <w:r>
        <w:t>Доработки, принятые по протоколу тестирования</w:t>
      </w:r>
    </w:p>
    <w:p>
      <w:r>
        <w:rPr>
          <w:b/>
        </w:rPr>
        <w:t xml:space="preserve">Срок: </w:t>
      </w:r>
      <w:r>
        <w:rPr>
          <w:b/>
          <w:color w:val="B4470A"/>
        </w:rPr>
        <w:t>⟨УТОЧНИТЬ: длительность этапа 4 — зависит от финального перечня доработок⟩</w:t>
      </w:r>
    </w:p>
    <w:p>
      <w:pPr>
        <w:pStyle w:val="Heading2"/>
      </w:pPr>
      <w:r>
        <w:t>Этап 5. Обучение и опытная эксплуатация</w:t>
      </w:r>
    </w:p>
    <w:p>
      <w:pPr>
        <w:pStyle w:val="ListBullet"/>
      </w:pPr>
      <w:r>
        <w:t>Обучение пользователей по ролям, инструкции на рабочих местах</w:t>
      </w:r>
    </w:p>
    <w:p>
      <w:pPr>
        <w:pStyle w:val="ListBullet"/>
      </w:pPr>
      <w:r>
        <w:t>Прогон реальных операций в тестовом контуре</w:t>
      </w:r>
    </w:p>
    <w:p>
      <w:pPr>
        <w:pStyle w:val="ListBullet"/>
      </w:pPr>
      <w:r>
        <w:t>Сбор и отработка замечаний</w:t>
      </w:r>
    </w:p>
    <w:p>
      <w:r>
        <w:rPr>
          <w:b/>
        </w:rPr>
        <w:t xml:space="preserve">Результат этапа: </w:t>
      </w:r>
      <w:r>
        <w:t>Обученные пользователи, закрытый список замечаний</w:t>
      </w:r>
    </w:p>
    <w:p>
      <w:r>
        <w:rPr>
          <w:b/>
        </w:rPr>
        <w:t xml:space="preserve">Срок: </w:t>
      </w:r>
      <w:r>
        <w:rPr>
          <w:b/>
          <w:color w:val="B4470A"/>
        </w:rPr>
        <w:t>⟨УТОЧНИТЬ: длительность этапа 5⟩</w:t>
      </w:r>
    </w:p>
    <w:p>
      <w:pPr>
        <w:pStyle w:val="Heading2"/>
      </w:pPr>
      <w:r>
        <w:t>Этап 6. Запуск и передача в поддержку</w:t>
      </w:r>
    </w:p>
    <w:p>
      <w:pPr>
        <w:pStyle w:val="ListBullet"/>
      </w:pPr>
      <w:r>
        <w:t>Перенос остатков на дату старта, старт работы в продуктивной базе</w:t>
      </w:r>
    </w:p>
    <w:p>
      <w:pPr>
        <w:pStyle w:val="ListBullet"/>
      </w:pPr>
      <w:r>
        <w:t>Усиленное сопровождение первых дней работы</w:t>
      </w:r>
    </w:p>
    <w:p>
      <w:pPr>
        <w:pStyle w:val="ListBullet"/>
      </w:pPr>
      <w:r>
        <w:t>Передача проекта в линию поддержки</w:t>
      </w:r>
    </w:p>
    <w:p>
      <w:r>
        <w:rPr>
          <w:b/>
        </w:rPr>
        <w:t xml:space="preserve">Результат этапа: </w:t>
      </w:r>
      <w:r>
        <w:t>Акт сдачи-приёмки, работа компании в продуктивной базе</w:t>
      </w:r>
    </w:p>
    <w:p>
      <w:r>
        <w:rPr>
          <w:b/>
        </w:rPr>
        <w:t xml:space="preserve">Срок: </w:t>
      </w:r>
      <w:r>
        <w:rPr>
          <w:b/>
          <w:color w:val="B4470A"/>
        </w:rPr>
        <w:t>⟨УТОЧНИТЬ: длительность этапа 6 и срок усиленного сопровождения после старта⟩</w:t>
      </w:r>
    </w:p>
    <w:p>
      <w:r>
        <w:rPr>
          <w:b/>
        </w:rPr>
        <w:t xml:space="preserve">Общий срок проекта: </w:t>
      </w:r>
      <w:r>
        <w:t>⟨УТОЧНИТЬ: общий срок проекта — сумма этапов после согласования объёма доработок и интеграций⟩</w:t>
      </w:r>
    </w:p>
    <w:p>
      <w:r>
        <w:rPr>
          <w:b/>
        </w:rPr>
        <w:t xml:space="preserve">Стоимость: </w:t>
      </w:r>
      <w:r>
        <w:t>⟨УТОЧНИТЬ: стоимость лицензий и работ по этапам, график платежей, валюта договора⟩</w:t>
      </w:r>
    </w:p>
    <w:p>
      <w:pPr>
        <w:pStyle w:val="Heading1"/>
      </w:pPr>
      <w:r>
        <w:t>3. Состав команды</w:t>
      </w:r>
    </w:p>
    <w:p>
      <w:r>
        <w:t>Роли на проекте с нашей стороны. Один человек может закрывать несколько ролей — финальная численность фиксируется вместе с объёмом работ.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</w:tcPr>
          <w:p>
            <w:r>
              <w:rPr>
                <w:b/>
              </w:rPr>
              <w:t>Роль</w:t>
            </w:r>
          </w:p>
        </w:tc>
        <w:tc>
          <w:tcPr>
            <w:tcW w:type="dxa" w:w="3324"/>
          </w:tcPr>
          <w:p>
            <w:r>
              <w:rPr>
                <w:b/>
              </w:rPr>
              <w:t>Зона ответственности</w:t>
            </w:r>
          </w:p>
        </w:tc>
        <w:tc>
          <w:tcPr>
            <w:tcW w:type="dxa" w:w="3324"/>
          </w:tcPr>
          <w:p>
            <w:r>
              <w:rPr>
                <w:b/>
              </w:rPr>
              <w:t>Занятость</w:t>
            </w:r>
          </w:p>
        </w:tc>
      </w:tr>
      <w:tr>
        <w:tc>
          <w:tcPr>
            <w:tcW w:type="dxa" w:w="3324"/>
          </w:tcPr>
          <w:p>
            <w:r>
              <w:t>Руководитель проекта</w:t>
            </w:r>
          </w:p>
        </w:tc>
        <w:tc>
          <w:tcPr>
            <w:tcW w:type="dxa" w:w="3324"/>
          </w:tcPr>
          <w:p>
            <w:r>
              <w:t>Планирование, статусы, контроль сроков и объёма, единая точка входа для клиента</w:t>
            </w:r>
          </w:p>
        </w:tc>
        <w:tc>
          <w:tcPr>
            <w:tcW w:type="dxa" w:w="3324"/>
          </w:tcPr>
          <w:p>
            <w:r>
              <w:t>На всех этапах</w:t>
            </w:r>
          </w:p>
        </w:tc>
      </w:tr>
      <w:tr>
        <w:tc>
          <w:tcPr>
            <w:tcW w:type="dxa" w:w="3324"/>
          </w:tcPr>
          <w:p>
            <w:r>
              <w:t>Консультант по логистике (закупки, склад, продажи)</w:t>
            </w:r>
          </w:p>
        </w:tc>
        <w:tc>
          <w:tcPr>
            <w:tcW w:type="dxa" w:w="3324"/>
          </w:tcPr>
          <w:p>
            <w:r>
              <w:t>Постановка и настройка товародвижения, прайс-листов, складских процессов</w:t>
            </w:r>
          </w:p>
        </w:tc>
        <w:tc>
          <w:tcPr>
            <w:tcW w:type="dxa" w:w="3324"/>
          </w:tcPr>
          <w:p>
            <w:r>
              <w:t>Этапы 1–5</w:t>
            </w:r>
          </w:p>
        </w:tc>
      </w:tr>
      <w:tr>
        <w:tc>
          <w:tcPr>
            <w:tcW w:type="dxa" w:w="3324"/>
          </w:tcPr>
          <w:p>
            <w:r>
              <w:t>Консультант по финансам</w:t>
            </w:r>
          </w:p>
        </w:tc>
        <w:tc>
          <w:tcPr>
            <w:tcW w:type="dxa" w:w="3324"/>
          </w:tcPr>
          <w:p>
            <w:r>
              <w:t>План счетов, автоматические проводки, взаиморасчёты, отчётность</w:t>
            </w:r>
          </w:p>
        </w:tc>
        <w:tc>
          <w:tcPr>
            <w:tcW w:type="dxa" w:w="3324"/>
          </w:tcPr>
          <w:p>
            <w:r>
              <w:t>Этапы 1–5</w:t>
            </w:r>
          </w:p>
        </w:tc>
      </w:tr>
      <w:tr>
        <w:tc>
          <w:tcPr>
            <w:tcW w:type="dxa" w:w="3324"/>
          </w:tcPr>
          <w:p>
            <w:r>
              <w:t>Разработчик (ABAP/SQL, Service Layer, Crystal Reports)</w:t>
            </w:r>
          </w:p>
        </w:tc>
        <w:tc>
          <w:tcPr>
            <w:tcW w:type="dxa" w:w="3324"/>
          </w:tcPr>
          <w:p>
            <w:r>
              <w:t>Печатные формы, отчёты, интеграции</w:t>
            </w:r>
          </w:p>
        </w:tc>
        <w:tc>
          <w:tcPr>
            <w:tcW w:type="dxa" w:w="3324"/>
          </w:tcPr>
          <w:p>
            <w:r>
              <w:t>Этапы 2–4</w:t>
            </w:r>
          </w:p>
        </w:tc>
      </w:tr>
      <w:tr>
        <w:tc>
          <w:tcPr>
            <w:tcW w:type="dxa" w:w="3324"/>
          </w:tcPr>
          <w:p>
            <w:r>
              <w:t>Специалист по миграции данных</w:t>
            </w:r>
          </w:p>
        </w:tc>
        <w:tc>
          <w:tcPr>
            <w:tcW w:type="dxa" w:w="3324"/>
          </w:tcPr>
          <w:p>
            <w:r>
              <w:t>Шаблоны загрузки, контроль качества и сверка данных</w:t>
            </w:r>
          </w:p>
        </w:tc>
        <w:tc>
          <w:tcPr>
            <w:tcW w:type="dxa" w:w="3324"/>
          </w:tcPr>
          <w:p>
            <w:r>
              <w:t>Этап 3</w:t>
            </w:r>
          </w:p>
        </w:tc>
      </w:tr>
      <w:tr>
        <w:tc>
          <w:tcPr>
            <w:tcW w:type="dxa" w:w="3324"/>
          </w:tcPr>
          <w:p>
            <w:r>
              <w:t>Технический специалист</w:t>
            </w:r>
          </w:p>
        </w:tc>
        <w:tc>
          <w:tcPr>
            <w:tcW w:type="dxa" w:w="3324"/>
          </w:tcPr>
          <w:p>
            <w:r>
              <w:t>Установка, настройка сервера и клиентов, резервное копирование, права доступа</w:t>
            </w:r>
          </w:p>
        </w:tc>
        <w:tc>
          <w:tcPr>
            <w:tcW w:type="dxa" w:w="3324"/>
          </w:tcPr>
          <w:p>
            <w:r>
              <w:t>Этапы 2 и 6</w:t>
            </w:r>
          </w:p>
        </w:tc>
      </w:tr>
    </w:tbl>
    <w:p>
      <w:r>
        <w:t>⟨УТОЧНИТЬ: численность команды и загрузка каждой роли в часах — считается после фиксации объёма доработок⟩</w:t>
      </w:r>
    </w:p>
    <w:p>
      <w:r>
        <w:br w:type="page"/>
      </w:r>
    </w:p>
    <w:p>
      <w:pPr>
        <w:pStyle w:val="Heading1"/>
      </w:pPr>
      <w:r>
        <w:t>4. Что нужно от клиента</w:t>
      </w:r>
    </w:p>
    <w:p>
      <w:r>
        <w:t>Проект внедрения — совместная работа. Ниже то, без чего сроки не держатся.</w:t>
      </w:r>
    </w:p>
    <w:p>
      <w:pPr>
        <w:pStyle w:val="ListBullet"/>
      </w:pPr>
      <w:r>
        <w:rPr>
          <w:b/>
        </w:rPr>
        <w:t xml:space="preserve">Спонсор проекта со стороны клиента. </w:t>
      </w:r>
      <w:r>
        <w:t>Руководитель, который принимает решения по спорным вопросам и утверждает проектное решение.</w:t>
      </w:r>
    </w:p>
    <w:p>
      <w:pPr>
        <w:pStyle w:val="ListBullet"/>
      </w:pPr>
      <w:r>
        <w:rPr>
          <w:b/>
        </w:rPr>
        <w:t xml:space="preserve">Ключевые пользователи по участкам. </w:t>
      </w:r>
      <w:r>
        <w:t>По одному ответственному от закупок, склада, продаж и финансов — они отвечают на вопросы, тестируют и принимают работу. ⟨УТОЧНИТЬ: ФИО и участки ключевых пользователей⟩</w:t>
      </w:r>
    </w:p>
    <w:p>
      <w:pPr>
        <w:pStyle w:val="ListBullet"/>
      </w:pPr>
      <w:r>
        <w:rPr>
          <w:b/>
        </w:rPr>
        <w:t xml:space="preserve">Данные для миграции. </w:t>
      </w:r>
      <w:r>
        <w:t>Справочники товаров и контрагентов, остатки по складам, дебиторская и кредиторская задолженность — в согласованном формате выгрузки.</w:t>
      </w:r>
    </w:p>
    <w:p>
      <w:pPr>
        <w:pStyle w:val="ListBullet"/>
      </w:pPr>
      <w:r>
        <w:rPr>
          <w:b/>
        </w:rPr>
        <w:t xml:space="preserve">Доступ к текущим системам и печатным формам. </w:t>
      </w:r>
      <w:r>
        <w:t>Образцы всех документов, которые компания печатает и сдаёт сегодня.</w:t>
      </w:r>
    </w:p>
    <w:p>
      <w:pPr>
        <w:pStyle w:val="ListBullet"/>
      </w:pPr>
      <w:r>
        <w:rPr>
          <w:b/>
        </w:rPr>
        <w:t xml:space="preserve">Инфраструктура. </w:t>
      </w:r>
      <w:r>
        <w:t>Сервер и рабочие места под требования SAP Business One. ⟨УТОЧНИТЬ: развёртывание on-premise или в облаке; кто предоставляет сервер⟩</w:t>
      </w:r>
    </w:p>
    <w:p>
      <w:pPr>
        <w:pStyle w:val="ListBullet"/>
      </w:pPr>
      <w:r>
        <w:rPr>
          <w:b/>
        </w:rPr>
        <w:t xml:space="preserve">Время сотрудников. </w:t>
      </w:r>
      <w:r>
        <w:t>Участие ключевых пользователей в интервью, тестировании и обучении. ⟨УТОЧНИТЬ: согласованный объём занятости ключевых пользователей в неделю⟩</w:t>
      </w:r>
    </w:p>
    <w:p>
      <w:pPr>
        <w:pStyle w:val="ListBullet"/>
      </w:pPr>
      <w:r>
        <w:rPr>
          <w:b/>
        </w:rPr>
        <w:t xml:space="preserve">Приёмка в срок. </w:t>
      </w:r>
      <w:r>
        <w:t>Утверждение документов этапа в согласованный срок — задержка приёмки сдвигает следующий этап.</w:t>
      </w:r>
    </w:p>
    <w:p>
      <w:pPr>
        <w:pStyle w:val="Heading1"/>
      </w:pPr>
      <w:r>
        <w:t>5. Риски и как их снимаем</w:t>
      </w:r>
    </w:p>
    <w:p>
      <w:pPr>
        <w:pStyle w:val="Heading2"/>
      </w:pPr>
      <w:r>
        <w:t>Данные в текущих системах неполные или с дублями</w:t>
      </w:r>
    </w:p>
    <w:p>
      <w:r>
        <w:rPr>
          <w:b/>
        </w:rPr>
        <w:t xml:space="preserve">Чем грозит: </w:t>
      </w:r>
      <w:r>
        <w:t>Миграция затягивается, остатки в новой системе не сходятся со складом.</w:t>
      </w:r>
    </w:p>
    <w:p>
      <w:r>
        <w:rPr>
          <w:b/>
        </w:rPr>
        <w:t xml:space="preserve">Как снимаем: </w:t>
      </w:r>
      <w:r>
        <w:t>Пробная загрузка на этапе 3 до боевой: показываем клиенту список дублей и пустых полей, чистим справочники до старта. Сверка контрольных сумм оформляется протоколом.</w:t>
      </w:r>
    </w:p>
    <w:p>
      <w:pPr>
        <w:pStyle w:val="Heading2"/>
      </w:pPr>
      <w:r>
        <w:t>Объём доработок растёт по ходу проекта</w:t>
      </w:r>
    </w:p>
    <w:p>
      <w:r>
        <w:rPr>
          <w:b/>
        </w:rPr>
        <w:t xml:space="preserve">Чем грозит: </w:t>
      </w:r>
      <w:r>
        <w:t>Сдвиг сроков и рост стоимости.</w:t>
      </w:r>
    </w:p>
    <w:p>
      <w:r>
        <w:rPr>
          <w:b/>
        </w:rPr>
        <w:t xml:space="preserve">Как снимаем: </w:t>
      </w:r>
      <w:r>
        <w:t>Перечень доработок фиксируется в проектном решении на этапе 1. Новые запросы оформляются отдельным запросом на изменение с оценкой — решение принимает спонсор проекта.</w:t>
      </w:r>
    </w:p>
    <w:p>
      <w:pPr>
        <w:pStyle w:val="Heading2"/>
      </w:pPr>
      <w:r>
        <w:t>Ключевые пользователи заняты операционкой</w:t>
      </w:r>
    </w:p>
    <w:p>
      <w:r>
        <w:rPr>
          <w:b/>
        </w:rPr>
        <w:t xml:space="preserve">Чем грозит: </w:t>
      </w:r>
      <w:r>
        <w:t>Интервью и тестирование срываются, замечания приходят после запуска.</w:t>
      </w:r>
    </w:p>
    <w:p>
      <w:r>
        <w:rPr>
          <w:b/>
        </w:rPr>
        <w:t xml:space="preserve">Как снимаем: </w:t>
      </w:r>
      <w:r>
        <w:t>Занятость согласуется до старта и фиксируется в плане; статус по участию — в еженедельном отчёте руководителя проекта.</w:t>
      </w:r>
    </w:p>
    <w:p>
      <w:pPr>
        <w:pStyle w:val="Heading2"/>
      </w:pPr>
      <w:r>
        <w:t>Сопротивление персонала переходу с привычных таблиц</w:t>
      </w:r>
    </w:p>
    <w:p>
      <w:r>
        <w:rPr>
          <w:b/>
        </w:rPr>
        <w:t xml:space="preserve">Чем грозит: </w:t>
      </w:r>
      <w:r>
        <w:t>Двойной учёт, данные в системе теряют актуальность.</w:t>
      </w:r>
    </w:p>
    <w:p>
      <w:r>
        <w:rPr>
          <w:b/>
        </w:rPr>
        <w:t xml:space="preserve">Как снимаем: </w:t>
      </w:r>
      <w:r>
        <w:t>Обучение по ролям, инструкции на рабочих местах, дата отключения старых таблиц фиксируется приказом клиента.</w:t>
      </w:r>
    </w:p>
    <w:p>
      <w:pPr>
        <w:pStyle w:val="Heading2"/>
      </w:pPr>
      <w:r>
        <w:t>Внешние системы не готовы к интеграции</w:t>
      </w:r>
    </w:p>
    <w:p>
      <w:r>
        <w:rPr>
          <w:b/>
        </w:rPr>
        <w:t xml:space="preserve">Чем грозит: </w:t>
      </w:r>
      <w:r>
        <w:t>Интеграционный этап буксует по причинам вне контура проекта.</w:t>
      </w:r>
    </w:p>
    <w:p>
      <w:r>
        <w:rPr>
          <w:b/>
        </w:rPr>
        <w:t xml:space="preserve">Как снимаем: </w:t>
      </w:r>
      <w:r>
        <w:t>Требования к каждому обмену проверяются на этапе 1; при неготовности контрагента запуск идёт без этой интеграции, обмен добавляется отдельным этапом.</w:t>
      </w:r>
    </w:p>
    <w:p>
      <w:pPr>
        <w:pStyle w:val="Heading2"/>
      </w:pPr>
      <w:r>
        <w:t>Инфраструктура не соответствует требованиям</w:t>
      </w:r>
    </w:p>
    <w:p>
      <w:r>
        <w:rPr>
          <w:b/>
        </w:rPr>
        <w:t xml:space="preserve">Чем грозит: </w:t>
      </w:r>
      <w:r>
        <w:t>Медленная работа системы, претензии после старта.</w:t>
      </w:r>
    </w:p>
    <w:p>
      <w:r>
        <w:rPr>
          <w:b/>
        </w:rPr>
        <w:t xml:space="preserve">Как снимаем: </w:t>
      </w:r>
      <w:r>
        <w:t>Проверка требований к серверу и каналам на этапе 1 до начала настройки; замечания фиксируются письменно.</w:t>
      </w:r>
    </w:p>
    <w:p>
      <w:r>
        <w:br w:type="page"/>
      </w:r>
    </w:p>
    <w:p>
      <w:pPr>
        <w:pStyle w:val="Heading1"/>
      </w:pPr>
      <w:r>
        <w:t>6. Следующий шаг</w:t>
      </w:r>
    </w:p>
    <w:p>
      <w:pPr>
        <w:pStyle w:val="ListNumber"/>
      </w:pPr>
      <w:r>
        <w:rPr>
          <w:b/>
        </w:rPr>
        <w:t xml:space="preserve">Встреча-уточнение. </w:t>
      </w:r>
      <w:r>
        <w:t>Проходим по списку ⟨УТОЧНИТЬ⟩ ниже и закрываем открытые пункты: контур, интеграции, инфраструктура, роли пользователей.</w:t>
      </w:r>
    </w:p>
    <w:p>
      <w:pPr>
        <w:pStyle w:val="ListNumber"/>
      </w:pPr>
      <w:r>
        <w:rPr>
          <w:b/>
        </w:rPr>
        <w:t xml:space="preserve">Демонстрация SAP Business One. </w:t>
      </w:r>
      <w:r>
        <w:t>Показываем систему на процессах оптовой торговли: заказ → резерв → отгрузка → оплата → отчёт по прибыли.</w:t>
      </w:r>
    </w:p>
    <w:p>
      <w:pPr>
        <w:pStyle w:val="ListNumber"/>
      </w:pPr>
      <w:r>
        <w:rPr>
          <w:b/>
        </w:rPr>
        <w:t xml:space="preserve">Финальное КП с цифрами. </w:t>
      </w:r>
      <w:r>
        <w:t>После уточнения объёма готовим предложение с фиксированной стоимостью, сроками и графиком платежей.</w:t>
      </w:r>
    </w:p>
    <w:p>
      <w:pPr>
        <w:pStyle w:val="ListNumber"/>
      </w:pPr>
      <w:r>
        <w:rPr>
          <w:b/>
        </w:rPr>
        <w:t xml:space="preserve">Договор и старт. </w:t>
      </w:r>
      <w:r>
        <w:t>Подписание, назначение ключевых пользователей, старт этапа 1.</w:t>
      </w:r>
    </w:p>
    <w:p>
      <w:r>
        <w:rPr>
          <w:b/>
        </w:rPr>
        <w:t xml:space="preserve">Контакты для ответа: </w:t>
      </w:r>
      <w:r>
        <w:t>⟨УТОЧНИТЬ: контактное лицо, телефон, e-mail, срок действия предложения⟩</w:t>
      </w:r>
    </w:p>
    <w:p>
      <w:pPr>
        <w:pStyle w:val="Heading1"/>
      </w:pPr>
      <w:r>
        <w:t>7. Что нужно уточнить до отправки клиенту</w:t>
      </w:r>
    </w:p>
    <w:p>
      <w:r>
        <w:t>Служебный раздел для куратора. Пока список не закрыт, документ клиенту не уходит — этот раздел и пометку «ЧЕРНОВИК» перед отправкой убрать.</w:t>
      </w:r>
    </w:p>
    <w:p>
      <w:pPr>
        <w:pStyle w:val="ListNumber"/>
      </w:pPr>
      <w:r>
        <w:t>⟨УТОЧНИТЬ: название компании-клиента и реквизиты для шапки КП⟩</w:t>
      </w:r>
    </w:p>
    <w:p>
      <w:pPr>
        <w:pStyle w:val="ListNumber"/>
      </w:pPr>
      <w:r>
        <w:t>⟨УТОЧНИТЬ: стоимость лицензий SAP Business One (тип лицензий и количество на 15 пользователей)⟩</w:t>
      </w:r>
    </w:p>
    <w:p>
      <w:pPr>
        <w:pStyle w:val="ListNumber"/>
      </w:pPr>
      <w:r>
        <w:t>⟨УТОЧНИТЬ: стоимость работ по внедрению — общая и разбивка по этапам 1–6⟩</w:t>
      </w:r>
    </w:p>
    <w:p>
      <w:pPr>
        <w:pStyle w:val="ListNumber"/>
      </w:pPr>
      <w:r>
        <w:t>⟨УТОЧНИТЬ: ставка часа для работ вне согласованного объёма⟩</w:t>
      </w:r>
    </w:p>
    <w:p>
      <w:pPr>
        <w:pStyle w:val="ListNumber"/>
      </w:pPr>
      <w:r>
        <w:t>⟨УТОЧНИТЬ: длительность каждого этапа 1–6 и общий срок проекта⟩</w:t>
      </w:r>
    </w:p>
    <w:p>
      <w:pPr>
        <w:pStyle w:val="ListNumber"/>
      </w:pPr>
      <w:r>
        <w:t>⟨УТОЧНИТЬ: график платежей (аванс, платежи по этапам, финальный расчёт)⟩</w:t>
      </w:r>
    </w:p>
    <w:p>
      <w:pPr>
        <w:pStyle w:val="ListNumber"/>
      </w:pPr>
      <w:r>
        <w:t>⟨УТОЧНИТЬ: валюта договора и порядок пересчёта⟩</w:t>
      </w:r>
    </w:p>
    <w:p>
      <w:pPr>
        <w:pStyle w:val="ListNumber"/>
      </w:pPr>
      <w:r>
        <w:t>⟨УТОЧНИТЬ: срок гарантии на настройки и доработки после подписания акта⟩</w:t>
      </w:r>
    </w:p>
    <w:p>
      <w:pPr>
        <w:pStyle w:val="ListNumber"/>
      </w:pPr>
      <w:r>
        <w:t>⟨УТОЧНИТЬ: условия поддержки после запуска (SLA, время реакции, стоимость)⟩</w:t>
      </w:r>
    </w:p>
    <w:p>
      <w:pPr>
        <w:pStyle w:val="ListNumber"/>
      </w:pPr>
      <w:r>
        <w:t>⟨УТОЧНИТЬ: количество и состав рабочих мест по ролям (кто из 15 пользователей — Professional, кто — Limited)⟩</w:t>
      </w:r>
    </w:p>
    <w:p>
      <w:pPr>
        <w:pStyle w:val="ListNumber"/>
      </w:pPr>
      <w:r>
        <w:t>⟨УТОЧНИТЬ: перечень печатных форм и отчётов на доработку⟩</w:t>
      </w:r>
    </w:p>
    <w:p>
      <w:pPr>
        <w:pStyle w:val="ListNumber"/>
      </w:pPr>
      <w:r>
        <w:t>⟨УТОЧНИТЬ: перечень внешних систем для интеграции и объём обмена⟩</w:t>
      </w:r>
    </w:p>
    <w:p>
      <w:pPr>
        <w:pStyle w:val="ListNumber"/>
      </w:pPr>
      <w:r>
        <w:t>⟨УТОЧНИТЬ: нужен ли партионный / серийный учёт⟩</w:t>
      </w:r>
    </w:p>
    <w:p>
      <w:pPr>
        <w:pStyle w:val="ListNumber"/>
      </w:pPr>
      <w:r>
        <w:t>⟨УТОЧНИТЬ: валюты учёта и расчётов⟩</w:t>
      </w:r>
    </w:p>
    <w:p>
      <w:pPr>
        <w:pStyle w:val="ListNumber"/>
      </w:pPr>
      <w:r>
        <w:t>⟨УТОЧНИТЬ: развёртывание on-premise или облако; кто предоставляет сервер⟩</w:t>
      </w:r>
    </w:p>
    <w:p>
      <w:pPr>
        <w:pStyle w:val="ListNumber"/>
      </w:pPr>
      <w:r>
        <w:t>⟨УТОЧНИТЬ: количество групп и часов обучения⟩</w:t>
      </w:r>
    </w:p>
    <w:p>
      <w:pPr>
        <w:pStyle w:val="ListNumber"/>
      </w:pPr>
      <w:r>
        <w:t>⟨УТОЧНИТЬ: срок действия предложения⟩</w:t>
      </w:r>
    </w:p>
    <w:p>
      <w:pPr>
        <w:pStyle w:val="ListNumber"/>
      </w:pPr>
      <w:r>
        <w:t>⟨УТОЧНИТЬ: контактное лицо и подпись со стороны нашей компании⟩</w:t>
      </w:r>
    </w:p>
    <w:p>
      <w:pPr>
        <w:jc w:val="center"/>
      </w:pPr>
      <w:r>
        <w:rPr>
          <w:b/>
          <w:color w:val="B4470A"/>
          <w:sz w:val="26"/>
        </w:rPr>
        <w:t>ЧЕРНОВИК — не отправлено, ждёт куратора</w:t>
      </w:r>
    </w:p>
    <w:p>
      <w:pPr>
        <w:jc w:val="center"/>
      </w:pPr>
      <w:r>
        <w:rPr>
          <w:color w:val="8A5A24"/>
          <w:sz w:val="18"/>
        </w:rPr>
        <w:t>Все суммы, сроки и объёмы обозначены как ⟨УТОЧНИТЬ: …⟩ — числа не подставлялись.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